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宋体" w:eastAsia="仿宋_GB2312"/>
          <w:spacing w:val="12"/>
          <w:sz w:val="32"/>
          <w:szCs w:val="32"/>
        </w:rPr>
      </w:pPr>
    </w:p>
    <w:p>
      <w:pPr>
        <w:spacing w:line="580" w:lineRule="exact"/>
        <w:jc w:val="center"/>
        <w:rPr>
          <w:rFonts w:ascii="方正小标宋简体" w:hAnsi="方正小标宋简体" w:eastAsia="方正小标宋简体" w:cs="方正小标宋简体"/>
          <w:spacing w:val="12"/>
          <w:sz w:val="44"/>
          <w:szCs w:val="44"/>
        </w:rPr>
      </w:pPr>
      <w:r>
        <w:rPr>
          <w:rFonts w:hint="eastAsia" w:ascii="方正小标宋简体" w:hAnsi="方正小标宋简体" w:eastAsia="方正小标宋简体" w:cs="方正小标宋简体"/>
          <w:spacing w:val="12"/>
          <w:sz w:val="44"/>
          <w:szCs w:val="44"/>
        </w:rPr>
        <w:t>佛山市中医院2025年医用耗材和体外</w:t>
      </w:r>
    </w:p>
    <w:p>
      <w:pPr>
        <w:spacing w:line="580" w:lineRule="exact"/>
        <w:jc w:val="center"/>
        <w:rPr>
          <w:rFonts w:hint="eastAsia" w:ascii="方正小标宋简体" w:hAnsi="方正小标宋简体" w:eastAsia="方正小标宋简体" w:cs="方正小标宋简体"/>
          <w:spacing w:val="12"/>
          <w:sz w:val="44"/>
          <w:szCs w:val="44"/>
          <w:lang w:eastAsia="zh-CN"/>
        </w:rPr>
      </w:pPr>
      <w:r>
        <w:rPr>
          <w:rFonts w:hint="eastAsia" w:ascii="方正小标宋简体" w:hAnsi="方正小标宋简体" w:eastAsia="方正小标宋简体" w:cs="方正小标宋简体"/>
          <w:spacing w:val="12"/>
          <w:sz w:val="44"/>
          <w:szCs w:val="44"/>
        </w:rPr>
        <w:t>诊断试剂公开遴选</w:t>
      </w:r>
      <w:r>
        <w:rPr>
          <w:rFonts w:hint="eastAsia" w:ascii="方正小标宋简体" w:hAnsi="方正小标宋简体" w:eastAsia="方正小标宋简体" w:cs="方正小标宋简体"/>
          <w:spacing w:val="12"/>
          <w:sz w:val="44"/>
          <w:szCs w:val="44"/>
          <w:lang w:val="en-US" w:eastAsia="zh-CN"/>
        </w:rPr>
        <w:t>办法</w:t>
      </w:r>
    </w:p>
    <w:p>
      <w:pPr>
        <w:spacing w:line="580" w:lineRule="exact"/>
        <w:ind w:left="640"/>
        <w:rPr>
          <w:rFonts w:ascii="黑体" w:hAnsi="黑体" w:eastAsia="黑体"/>
          <w:spacing w:val="12"/>
          <w:sz w:val="32"/>
          <w:szCs w:val="32"/>
        </w:rPr>
      </w:pPr>
    </w:p>
    <w:p>
      <w:pPr>
        <w:spacing w:line="580" w:lineRule="exact"/>
        <w:ind w:firstLine="688" w:firstLineChars="200"/>
        <w:rPr>
          <w:rFonts w:ascii="黑体" w:hAnsi="黑体" w:eastAsia="黑体"/>
          <w:spacing w:val="12"/>
          <w:sz w:val="32"/>
          <w:szCs w:val="32"/>
        </w:rPr>
      </w:pPr>
      <w:r>
        <w:rPr>
          <w:rFonts w:hint="eastAsia" w:ascii="黑体" w:hAnsi="黑体" w:eastAsia="黑体"/>
          <w:spacing w:val="12"/>
          <w:sz w:val="32"/>
          <w:szCs w:val="32"/>
          <w:lang w:val="en-US" w:eastAsia="zh-CN"/>
        </w:rPr>
        <w:t>一</w:t>
      </w:r>
      <w:r>
        <w:rPr>
          <w:rFonts w:hint="eastAsia" w:ascii="黑体" w:hAnsi="黑体" w:eastAsia="黑体"/>
          <w:spacing w:val="12"/>
          <w:sz w:val="32"/>
          <w:szCs w:val="32"/>
        </w:rPr>
        <w:t>、遴选要求</w:t>
      </w:r>
    </w:p>
    <w:p>
      <w:pPr>
        <w:spacing w:line="580" w:lineRule="exact"/>
        <w:ind w:firstLine="691" w:firstLineChars="200"/>
        <w:rPr>
          <w:rFonts w:ascii="楷体_GB2312" w:eastAsia="楷体_GB2312"/>
          <w:b/>
          <w:bCs w:val="0"/>
          <w:spacing w:val="12"/>
          <w:sz w:val="32"/>
          <w:szCs w:val="32"/>
        </w:rPr>
      </w:pPr>
      <w:r>
        <w:rPr>
          <w:rFonts w:hint="eastAsia" w:ascii="楷体_GB2312" w:eastAsia="楷体_GB2312"/>
          <w:b/>
          <w:bCs w:val="0"/>
          <w:spacing w:val="12"/>
          <w:sz w:val="32"/>
          <w:szCs w:val="32"/>
        </w:rPr>
        <w:t>（一）遴选目录</w:t>
      </w:r>
    </w:p>
    <w:p>
      <w:pPr>
        <w:spacing w:line="580" w:lineRule="exact"/>
        <w:ind w:firstLine="688" w:firstLineChars="200"/>
        <w:jc w:val="left"/>
        <w:rPr>
          <w:rFonts w:ascii="仿宋_GB2312" w:hAnsi="黑体" w:eastAsia="仿宋_GB2312"/>
          <w:spacing w:val="12"/>
          <w:sz w:val="32"/>
          <w:szCs w:val="32"/>
        </w:rPr>
      </w:pPr>
      <w:r>
        <w:rPr>
          <w:rFonts w:hint="eastAsia" w:ascii="仿宋_GB2312" w:hAnsi="黑体" w:eastAsia="仿宋_GB2312"/>
          <w:spacing w:val="12"/>
          <w:sz w:val="32"/>
          <w:szCs w:val="32"/>
        </w:rPr>
        <w:t>制定《佛山市中医院医用耗材和体外诊断试剂公开遴选目录》，按照遴选目录编号规则，形成遴选目录编号，例如：FSSZYY-HC-202</w:t>
      </w:r>
      <w:r>
        <w:rPr>
          <w:rFonts w:hint="eastAsia" w:ascii="仿宋_GB2312" w:hAnsi="黑体" w:eastAsia="仿宋_GB2312"/>
          <w:spacing w:val="12"/>
          <w:sz w:val="32"/>
          <w:szCs w:val="32"/>
          <w:lang w:val="en-US" w:eastAsia="zh-CN"/>
        </w:rPr>
        <w:t>5</w:t>
      </w:r>
      <w:r>
        <w:rPr>
          <w:rFonts w:hint="eastAsia" w:ascii="仿宋_GB2312" w:hAnsi="黑体" w:eastAsia="仿宋_GB2312"/>
          <w:spacing w:val="12"/>
          <w:sz w:val="32"/>
          <w:szCs w:val="32"/>
        </w:rPr>
        <w:t>01。</w:t>
      </w:r>
    </w:p>
    <w:p>
      <w:pPr>
        <w:spacing w:line="580" w:lineRule="exact"/>
        <w:ind w:firstLine="691" w:firstLineChars="200"/>
        <w:rPr>
          <w:rFonts w:ascii="楷体_GB2312" w:hAnsi="黑体" w:eastAsia="楷体_GB2312"/>
          <w:b/>
          <w:bCs w:val="0"/>
          <w:spacing w:val="12"/>
          <w:sz w:val="32"/>
          <w:szCs w:val="32"/>
        </w:rPr>
      </w:pPr>
      <w:r>
        <w:rPr>
          <w:rFonts w:hint="eastAsia" w:ascii="楷体_GB2312" w:hAnsi="黑体" w:eastAsia="楷体_GB2312"/>
          <w:b/>
          <w:bCs w:val="0"/>
          <w:spacing w:val="12"/>
          <w:sz w:val="32"/>
          <w:szCs w:val="32"/>
        </w:rPr>
        <w:t>（二）遴选供应商要求</w:t>
      </w:r>
    </w:p>
    <w:p>
      <w:pPr>
        <w:spacing w:line="5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1、</w:t>
      </w:r>
      <w:bookmarkStart w:id="0" w:name="OLE_LINK1"/>
      <w:r>
        <w:rPr>
          <w:rFonts w:ascii="仿宋_GB2312" w:eastAsia="仿宋_GB2312"/>
          <w:spacing w:val="12"/>
          <w:sz w:val="32"/>
          <w:szCs w:val="32"/>
        </w:rPr>
        <w:t>在</w:t>
      </w:r>
      <w:r>
        <w:rPr>
          <w:rFonts w:hint="eastAsia" w:ascii="仿宋_GB2312" w:eastAsia="仿宋_GB2312"/>
          <w:spacing w:val="12"/>
          <w:sz w:val="32"/>
          <w:szCs w:val="32"/>
        </w:rPr>
        <w:t>药品和医用耗材招采管理系统（广东省）（以下简称“广东省新招采子系统”）注册</w:t>
      </w:r>
      <w:r>
        <w:rPr>
          <w:rFonts w:ascii="仿宋_GB2312" w:eastAsia="仿宋_GB2312"/>
          <w:spacing w:val="12"/>
          <w:sz w:val="32"/>
          <w:szCs w:val="32"/>
        </w:rPr>
        <w:t>的生产企业</w:t>
      </w:r>
      <w:r>
        <w:rPr>
          <w:rFonts w:hint="eastAsia" w:ascii="仿宋_GB2312" w:eastAsia="仿宋_GB2312"/>
          <w:spacing w:val="12"/>
          <w:sz w:val="32"/>
          <w:szCs w:val="32"/>
        </w:rPr>
        <w:t>、生产企业的代理商或授权供应商可</w:t>
      </w:r>
      <w:r>
        <w:rPr>
          <w:rFonts w:ascii="仿宋_GB2312" w:eastAsia="仿宋_GB2312"/>
          <w:spacing w:val="12"/>
          <w:sz w:val="32"/>
          <w:szCs w:val="32"/>
        </w:rPr>
        <w:t>报名参</w:t>
      </w:r>
      <w:r>
        <w:rPr>
          <w:rFonts w:hint="eastAsia" w:ascii="仿宋_GB2312" w:eastAsia="仿宋_GB2312"/>
          <w:spacing w:val="12"/>
          <w:sz w:val="32"/>
          <w:szCs w:val="32"/>
        </w:rPr>
        <w:t>加遴</w:t>
      </w:r>
      <w:bookmarkStart w:id="2" w:name="_GoBack"/>
      <w:bookmarkEnd w:id="2"/>
      <w:r>
        <w:rPr>
          <w:rFonts w:hint="eastAsia" w:ascii="仿宋_GB2312" w:eastAsia="仿宋_GB2312"/>
          <w:spacing w:val="12"/>
          <w:sz w:val="32"/>
          <w:szCs w:val="32"/>
        </w:rPr>
        <w:t>选（以下统称“供应商”）。</w:t>
      </w:r>
      <w:bookmarkEnd w:id="0"/>
    </w:p>
    <w:p>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2、供应商须承诺给佛山市中</w:t>
      </w:r>
      <w:r>
        <w:rPr>
          <w:rFonts w:hint="eastAsia" w:ascii="仿宋_GB2312" w:hAnsi="宋体" w:eastAsia="仿宋_GB2312"/>
          <w:spacing w:val="12"/>
          <w:sz w:val="32"/>
          <w:szCs w:val="30"/>
        </w:rPr>
        <w:t>医院集团内医院的供货价格和伴随服务相同；同时须承诺</w:t>
      </w:r>
      <w:r>
        <w:rPr>
          <w:rFonts w:hint="eastAsia" w:ascii="仿宋_GB2312" w:hAnsi="仿宋_GB2312" w:eastAsia="仿宋_GB2312" w:cs="仿宋_GB2312"/>
          <w:spacing w:val="12"/>
          <w:sz w:val="32"/>
          <w:szCs w:val="32"/>
        </w:rPr>
        <w:t>遴选前后伴随服务供给的连续性，服务内容、质量、标准不得降低。伴随服务应至少包含物流配送、仓储管理，以及合规技术服务、配套工具等置入和取出手术必需的相关服务。</w:t>
      </w:r>
    </w:p>
    <w:p>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3、不接受联合体参选，不允许分包（不接受联合体的意思是不允许两家或以上供应商合作一起参选同一产品）。</w:t>
      </w:r>
    </w:p>
    <w:p>
      <w:pPr>
        <w:spacing w:line="580" w:lineRule="exact"/>
        <w:ind w:firstLine="691" w:firstLineChars="200"/>
        <w:rPr>
          <w:rFonts w:ascii="楷体_GB2312" w:hAnsi="黑体" w:eastAsia="楷体_GB2312"/>
          <w:b/>
          <w:bCs w:val="0"/>
          <w:spacing w:val="12"/>
          <w:sz w:val="32"/>
          <w:szCs w:val="32"/>
        </w:rPr>
      </w:pPr>
      <w:r>
        <w:rPr>
          <w:rFonts w:hint="eastAsia" w:ascii="楷体_GB2312" w:hAnsi="黑体" w:eastAsia="楷体_GB2312"/>
          <w:b/>
          <w:bCs w:val="0"/>
          <w:spacing w:val="12"/>
          <w:sz w:val="32"/>
          <w:szCs w:val="32"/>
        </w:rPr>
        <w:t>（三）遴选医用耗材要求</w:t>
      </w:r>
    </w:p>
    <w:p>
      <w:pPr>
        <w:spacing w:line="580" w:lineRule="exact"/>
        <w:ind w:firstLine="688" w:firstLineChars="200"/>
        <w:rPr>
          <w:rFonts w:ascii="仿宋_GB2312" w:eastAsia="仿宋_GB2312"/>
          <w:spacing w:val="12"/>
          <w:sz w:val="32"/>
          <w:szCs w:val="32"/>
        </w:rPr>
      </w:pPr>
      <w:r>
        <w:rPr>
          <w:rFonts w:hint="eastAsia" w:ascii="仿宋_GB2312" w:hAnsi="黑体" w:eastAsia="仿宋_GB2312"/>
          <w:spacing w:val="12"/>
          <w:sz w:val="32"/>
          <w:szCs w:val="32"/>
        </w:rPr>
        <w:t>1、</w:t>
      </w:r>
      <w:r>
        <w:rPr>
          <w:rFonts w:ascii="仿宋_GB2312" w:eastAsia="仿宋_GB2312"/>
          <w:spacing w:val="12"/>
          <w:sz w:val="32"/>
          <w:szCs w:val="32"/>
        </w:rPr>
        <w:t>分进口与国产两个</w:t>
      </w:r>
      <w:r>
        <w:rPr>
          <w:rFonts w:hint="eastAsia" w:ascii="仿宋_GB2312" w:eastAsia="仿宋_GB2312"/>
          <w:spacing w:val="12"/>
          <w:sz w:val="32"/>
          <w:szCs w:val="32"/>
        </w:rPr>
        <w:t>大类别（按</w:t>
      </w:r>
      <w:r>
        <w:rPr>
          <w:rFonts w:ascii="仿宋_GB2312" w:eastAsia="仿宋_GB2312"/>
          <w:spacing w:val="12"/>
          <w:sz w:val="32"/>
          <w:szCs w:val="32"/>
        </w:rPr>
        <w:t>注册证划分</w:t>
      </w:r>
      <w:r>
        <w:rPr>
          <w:rFonts w:hint="eastAsia" w:ascii="仿宋_GB2312" w:eastAsia="仿宋_GB2312"/>
          <w:spacing w:val="12"/>
          <w:sz w:val="32"/>
          <w:szCs w:val="32"/>
        </w:rPr>
        <w:t>）</w:t>
      </w:r>
      <w:r>
        <w:rPr>
          <w:rFonts w:ascii="仿宋_GB2312" w:eastAsia="仿宋_GB2312"/>
          <w:spacing w:val="12"/>
          <w:sz w:val="32"/>
          <w:szCs w:val="32"/>
        </w:rPr>
        <w:t>，港澳台“许”字号的产品，暂视为进口产品。</w:t>
      </w:r>
      <w:r>
        <w:rPr>
          <w:rFonts w:hint="eastAsia" w:ascii="仿宋_GB2312" w:eastAsia="仿宋_GB2312"/>
          <w:spacing w:val="12"/>
          <w:sz w:val="32"/>
          <w:szCs w:val="32"/>
        </w:rPr>
        <w:t>如上级部门有最新规定，按照最新要求调整执行。</w:t>
      </w:r>
    </w:p>
    <w:p>
      <w:pPr>
        <w:spacing w:line="580" w:lineRule="exact"/>
        <w:ind w:firstLine="688" w:firstLineChars="200"/>
        <w:rPr>
          <w:rFonts w:ascii="仿宋_GB2312" w:hAnsi="黑体" w:eastAsia="仿宋_GB2312"/>
          <w:spacing w:val="12"/>
          <w:sz w:val="32"/>
          <w:szCs w:val="32"/>
        </w:rPr>
      </w:pPr>
      <w:r>
        <w:rPr>
          <w:rFonts w:ascii="仿宋_GB2312" w:hAnsi="黑体" w:eastAsia="仿宋_GB2312"/>
          <w:spacing w:val="12"/>
          <w:sz w:val="32"/>
          <w:szCs w:val="32"/>
        </w:rPr>
        <w:t>2</w:t>
      </w:r>
      <w:r>
        <w:rPr>
          <w:rFonts w:hint="eastAsia" w:ascii="仿宋_GB2312" w:hAnsi="黑体" w:eastAsia="仿宋_GB2312"/>
          <w:spacing w:val="12"/>
          <w:sz w:val="32"/>
          <w:szCs w:val="32"/>
        </w:rPr>
        <w:t>、报名产品至少在三甲医院有销售，无不良事件（须提供销售发票复印件）。</w:t>
      </w:r>
    </w:p>
    <w:p>
      <w:pPr>
        <w:spacing w:line="580" w:lineRule="exact"/>
        <w:ind w:firstLine="688" w:firstLineChars="200"/>
        <w:rPr>
          <w:rFonts w:ascii="仿宋_GB2312" w:hAnsi="仿宋_GB2312" w:eastAsia="仿宋_GB2312" w:cs="仿宋_GB2312"/>
          <w:spacing w:val="12"/>
          <w:sz w:val="32"/>
          <w:szCs w:val="32"/>
        </w:rPr>
      </w:pPr>
      <w:r>
        <w:rPr>
          <w:rFonts w:ascii="仿宋_GB2312" w:hAnsi="黑体" w:eastAsia="仿宋_GB2312"/>
          <w:spacing w:val="12"/>
          <w:sz w:val="32"/>
          <w:szCs w:val="32"/>
        </w:rPr>
        <w:t>3</w:t>
      </w:r>
      <w:r>
        <w:rPr>
          <w:rFonts w:hint="eastAsia" w:ascii="仿宋_GB2312" w:hAnsi="黑体" w:eastAsia="仿宋_GB2312"/>
          <w:spacing w:val="12"/>
          <w:sz w:val="32"/>
          <w:szCs w:val="32"/>
        </w:rPr>
        <w:t>、</w:t>
      </w:r>
      <w:r>
        <w:rPr>
          <w:rFonts w:hint="eastAsia" w:ascii="仿宋_GB2312" w:eastAsia="仿宋_GB2312"/>
          <w:spacing w:val="12"/>
          <w:sz w:val="32"/>
          <w:szCs w:val="32"/>
        </w:rPr>
        <w:t>须承诺所投产品能实现在广东省新招采子系统平台线上采购，医院原则上不接受线下采购。</w:t>
      </w:r>
    </w:p>
    <w:p>
      <w:pPr>
        <w:spacing w:line="580" w:lineRule="exact"/>
        <w:ind w:firstLine="691" w:firstLineChars="200"/>
        <w:rPr>
          <w:rFonts w:ascii="仿宋_GB2312" w:hAnsi="仿宋_GB2312" w:eastAsia="楷体_GB2312" w:cs="仿宋_GB2312"/>
          <w:b/>
          <w:bCs w:val="0"/>
          <w:spacing w:val="12"/>
          <w:sz w:val="32"/>
          <w:szCs w:val="32"/>
        </w:rPr>
      </w:pPr>
      <w:r>
        <w:rPr>
          <w:rFonts w:hint="eastAsia" w:ascii="楷体_GB2312" w:eastAsia="楷体_GB2312"/>
          <w:b/>
          <w:bCs w:val="0"/>
          <w:spacing w:val="12"/>
          <w:sz w:val="32"/>
          <w:szCs w:val="32"/>
        </w:rPr>
        <w:t>（四）遴选报价要求</w:t>
      </w:r>
    </w:p>
    <w:p>
      <w:pPr>
        <w:spacing w:line="580" w:lineRule="exact"/>
        <w:ind w:firstLine="688" w:firstLineChars="200"/>
        <w:rPr>
          <w:rFonts w:ascii="仿宋_GB2312" w:hAnsi="黑体" w:eastAsia="仿宋_GB2312"/>
          <w:bCs/>
          <w:spacing w:val="12"/>
          <w:sz w:val="32"/>
          <w:szCs w:val="32"/>
        </w:rPr>
      </w:pPr>
      <w:r>
        <w:rPr>
          <w:rFonts w:hint="eastAsia" w:ascii="仿宋_GB2312" w:hAnsi="黑体" w:eastAsia="仿宋_GB2312"/>
          <w:bCs/>
          <w:spacing w:val="12"/>
          <w:sz w:val="32"/>
          <w:szCs w:val="32"/>
        </w:rPr>
        <w:t>报价高于《</w:t>
      </w:r>
      <w:r>
        <w:rPr>
          <w:rFonts w:hint="eastAsia" w:ascii="仿宋_GB2312" w:hAnsi="黑体" w:eastAsia="仿宋_GB2312"/>
          <w:spacing w:val="12"/>
          <w:sz w:val="32"/>
          <w:szCs w:val="32"/>
        </w:rPr>
        <w:t>佛山市中医院医用耗材和体外诊断试剂公开遴选目录</w:t>
      </w:r>
      <w:r>
        <w:rPr>
          <w:rFonts w:hint="eastAsia" w:ascii="仿宋_GB2312" w:hAnsi="黑体" w:eastAsia="仿宋_GB2312"/>
          <w:bCs/>
          <w:spacing w:val="12"/>
          <w:sz w:val="32"/>
          <w:szCs w:val="32"/>
        </w:rPr>
        <w:t>》设置最高</w:t>
      </w:r>
      <w:r>
        <w:rPr>
          <w:rFonts w:hint="eastAsia" w:ascii="仿宋_GB2312" w:hAnsi="黑体" w:eastAsia="仿宋_GB2312"/>
          <w:bCs/>
          <w:spacing w:val="12"/>
          <w:sz w:val="32"/>
          <w:szCs w:val="32"/>
          <w:lang w:val="en-US" w:eastAsia="zh-CN"/>
        </w:rPr>
        <w:t>限价</w:t>
      </w:r>
      <w:r>
        <w:rPr>
          <w:rFonts w:hint="eastAsia" w:ascii="仿宋_GB2312" w:hAnsi="黑体" w:eastAsia="仿宋_GB2312"/>
          <w:bCs/>
          <w:spacing w:val="12"/>
          <w:sz w:val="32"/>
          <w:szCs w:val="32"/>
        </w:rPr>
        <w:t>（单价），则此次遴选报价无效。</w:t>
      </w:r>
    </w:p>
    <w:p>
      <w:pPr>
        <w:spacing w:line="580" w:lineRule="exact"/>
        <w:ind w:firstLine="688" w:firstLineChars="200"/>
        <w:rPr>
          <w:rFonts w:ascii="仿宋_GB2312" w:hAnsi="黑体" w:eastAsia="仿宋_GB2312"/>
          <w:spacing w:val="12"/>
          <w:sz w:val="32"/>
          <w:szCs w:val="32"/>
        </w:rPr>
      </w:pPr>
      <w:r>
        <w:rPr>
          <w:rFonts w:hint="eastAsia" w:ascii="仿宋_GB2312" w:hAnsi="黑体" w:eastAsia="仿宋_GB2312"/>
          <w:bCs/>
          <w:spacing w:val="12"/>
          <w:sz w:val="32"/>
          <w:szCs w:val="32"/>
        </w:rPr>
        <w:t>1、</w:t>
      </w:r>
      <w:r>
        <w:rPr>
          <w:rFonts w:hint="eastAsia" w:ascii="仿宋_GB2312" w:hAnsi="黑体" w:eastAsia="仿宋_GB2312"/>
          <w:spacing w:val="12"/>
          <w:sz w:val="32"/>
          <w:szCs w:val="32"/>
        </w:rPr>
        <w:t>第一轮报价：报名递交参选文件时，供应商在参选文件上的“佛山市中医院遴选产品汇总表（打印版）”提交第一次报价，一个序号一份报价单，不同序号的报价不允许出现在同一份报价单上；遴选现场需要提交的该序号的样品（不同规格的，如产品功能一样的可只提供一种），评审小组综合评审后，按照综合评分高低进行排序。</w:t>
      </w:r>
    </w:p>
    <w:p>
      <w:pPr>
        <w:spacing w:line="580" w:lineRule="exact"/>
        <w:ind w:firstLine="640" w:firstLineChars="200"/>
        <w:rPr>
          <w:rFonts w:ascii="仿宋_GB2312" w:hAnsi="黑体" w:eastAsia="仿宋_GB2312"/>
          <w:sz w:val="32"/>
          <w:szCs w:val="32"/>
        </w:rPr>
      </w:pPr>
      <w:r>
        <w:rPr>
          <w:rFonts w:hint="eastAsia" w:ascii="仿宋_GB2312" w:hAnsi="黑体" w:eastAsia="仿宋_GB2312"/>
          <w:bCs/>
          <w:sz w:val="32"/>
          <w:szCs w:val="32"/>
        </w:rPr>
        <w:t>2、遴选入围下一轮报价供应商</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按综合评分从高到低排名，确定入围下一轮报价供应商（国产和进口分开）。具体方式按下表确定：</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6"/>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pct"/>
            <w:shd w:val="clear" w:color="auto" w:fill="auto"/>
            <w:noWrap/>
            <w:vAlign w:val="center"/>
          </w:tcPr>
          <w:p>
            <w:pPr>
              <w:jc w:val="center"/>
              <w:rPr>
                <w:rFonts w:ascii="仿宋_GB2312" w:eastAsia="仿宋_GB2312"/>
                <w:sz w:val="28"/>
                <w:szCs w:val="28"/>
              </w:rPr>
            </w:pPr>
            <w:r>
              <w:rPr>
                <w:rFonts w:hint="eastAsia" w:ascii="仿宋_GB2312" w:eastAsia="仿宋_GB2312"/>
                <w:sz w:val="28"/>
                <w:szCs w:val="28"/>
              </w:rPr>
              <w:t>报名且到现场报价的有效供应商</w:t>
            </w:r>
          </w:p>
        </w:tc>
        <w:tc>
          <w:tcPr>
            <w:tcW w:w="2572" w:type="pct"/>
            <w:shd w:val="clear" w:color="auto" w:fill="auto"/>
            <w:noWrap/>
            <w:vAlign w:val="center"/>
          </w:tcPr>
          <w:p>
            <w:pPr>
              <w:jc w:val="center"/>
              <w:rPr>
                <w:rFonts w:ascii="仿宋_GB2312" w:eastAsia="仿宋_GB2312"/>
                <w:sz w:val="28"/>
                <w:szCs w:val="28"/>
              </w:rPr>
            </w:pPr>
            <w:r>
              <w:rPr>
                <w:rFonts w:hint="eastAsia" w:ascii="仿宋_GB2312" w:eastAsia="仿宋_GB2312"/>
                <w:sz w:val="28"/>
                <w:szCs w:val="28"/>
              </w:rPr>
              <w:t>按分数由高到低排序入围数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pct"/>
            <w:shd w:val="clear" w:color="auto" w:fill="auto"/>
            <w:noWrap/>
          </w:tcPr>
          <w:p>
            <w:pPr>
              <w:jc w:val="center"/>
              <w:rPr>
                <w:rFonts w:ascii="仿宋_GB2312" w:eastAsia="仿宋_GB2312"/>
                <w:sz w:val="28"/>
                <w:szCs w:val="28"/>
              </w:rPr>
            </w:pPr>
            <w:r>
              <w:rPr>
                <w:rFonts w:hint="eastAsia" w:ascii="仿宋_GB2312" w:eastAsia="仿宋_GB2312"/>
                <w:sz w:val="28"/>
                <w:szCs w:val="28"/>
              </w:rPr>
              <w:t>少于等于3个</w:t>
            </w:r>
          </w:p>
        </w:tc>
        <w:tc>
          <w:tcPr>
            <w:tcW w:w="2572" w:type="pct"/>
            <w:shd w:val="clear" w:color="auto" w:fill="auto"/>
            <w:noWrap/>
          </w:tcPr>
          <w:p>
            <w:pPr>
              <w:jc w:val="center"/>
              <w:rPr>
                <w:rFonts w:ascii="仿宋_GB2312" w:eastAsia="仿宋_GB2312"/>
                <w:sz w:val="28"/>
                <w:szCs w:val="28"/>
              </w:rPr>
            </w:pPr>
            <w:r>
              <w:rPr>
                <w:rFonts w:hint="eastAsia" w:ascii="仿宋_GB2312" w:eastAsia="仿宋_GB2312"/>
                <w:sz w:val="28"/>
                <w:szCs w:val="28"/>
              </w:rPr>
              <w:t>不淘汰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pct"/>
            <w:shd w:val="clear" w:color="auto" w:fill="auto"/>
            <w:noWrap/>
          </w:tcPr>
          <w:p>
            <w:pPr>
              <w:jc w:val="center"/>
              <w:rPr>
                <w:rFonts w:ascii="仿宋_GB2312" w:eastAsia="仿宋_GB2312"/>
                <w:sz w:val="28"/>
                <w:szCs w:val="28"/>
              </w:rPr>
            </w:pPr>
            <w:r>
              <w:rPr>
                <w:rFonts w:hint="eastAsia" w:ascii="仿宋_GB2312" w:eastAsia="仿宋_GB2312"/>
                <w:sz w:val="28"/>
                <w:szCs w:val="28"/>
              </w:rPr>
              <w:t>4个至5个</w:t>
            </w:r>
          </w:p>
        </w:tc>
        <w:tc>
          <w:tcPr>
            <w:tcW w:w="2572" w:type="pct"/>
            <w:shd w:val="clear" w:color="auto" w:fill="auto"/>
            <w:noWrap/>
          </w:tcPr>
          <w:p>
            <w:pPr>
              <w:jc w:val="center"/>
              <w:rPr>
                <w:rFonts w:ascii="仿宋_GB2312" w:eastAsia="仿宋_GB2312"/>
                <w:sz w:val="28"/>
                <w:szCs w:val="28"/>
              </w:rPr>
            </w:pPr>
            <w:r>
              <w:rPr>
                <w:rFonts w:hint="eastAsia" w:ascii="仿宋_GB2312" w:eastAsia="仿宋_GB2312"/>
                <w:sz w:val="28"/>
                <w:szCs w:val="28"/>
              </w:rPr>
              <w:t>保留前3个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pct"/>
            <w:shd w:val="clear" w:color="auto" w:fill="auto"/>
            <w:noWrap/>
          </w:tcPr>
          <w:p>
            <w:pPr>
              <w:jc w:val="center"/>
              <w:rPr>
                <w:rFonts w:ascii="仿宋_GB2312" w:eastAsia="仿宋_GB2312"/>
                <w:sz w:val="28"/>
                <w:szCs w:val="28"/>
              </w:rPr>
            </w:pPr>
            <w:r>
              <w:rPr>
                <w:rFonts w:hint="eastAsia" w:ascii="仿宋_GB2312" w:eastAsia="仿宋_GB2312"/>
                <w:sz w:val="28"/>
                <w:szCs w:val="28"/>
              </w:rPr>
              <w:t>6个至10个</w:t>
            </w:r>
          </w:p>
        </w:tc>
        <w:tc>
          <w:tcPr>
            <w:tcW w:w="2572" w:type="pct"/>
            <w:shd w:val="clear" w:color="auto" w:fill="auto"/>
            <w:noWrap/>
          </w:tcPr>
          <w:p>
            <w:pPr>
              <w:jc w:val="center"/>
              <w:rPr>
                <w:rFonts w:ascii="仿宋_GB2312" w:eastAsia="仿宋_GB2312"/>
                <w:sz w:val="28"/>
                <w:szCs w:val="28"/>
              </w:rPr>
            </w:pPr>
            <w:r>
              <w:rPr>
                <w:rFonts w:hint="eastAsia" w:ascii="仿宋_GB2312" w:eastAsia="仿宋_GB2312"/>
                <w:sz w:val="28"/>
                <w:szCs w:val="28"/>
              </w:rPr>
              <w:t>保留前4个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pct"/>
            <w:shd w:val="clear" w:color="auto" w:fill="auto"/>
            <w:noWrap/>
          </w:tcPr>
          <w:p>
            <w:pPr>
              <w:jc w:val="center"/>
              <w:rPr>
                <w:rFonts w:ascii="仿宋_GB2312" w:eastAsia="仿宋_GB2312"/>
                <w:sz w:val="28"/>
                <w:szCs w:val="28"/>
              </w:rPr>
            </w:pPr>
            <w:r>
              <w:rPr>
                <w:rFonts w:hint="eastAsia" w:ascii="仿宋_GB2312" w:eastAsia="仿宋_GB2312"/>
                <w:sz w:val="28"/>
                <w:szCs w:val="28"/>
              </w:rPr>
              <w:t>大于10个</w:t>
            </w:r>
          </w:p>
        </w:tc>
        <w:tc>
          <w:tcPr>
            <w:tcW w:w="2572" w:type="pct"/>
            <w:shd w:val="clear" w:color="auto" w:fill="auto"/>
            <w:noWrap/>
          </w:tcPr>
          <w:p>
            <w:pPr>
              <w:jc w:val="center"/>
              <w:rPr>
                <w:rFonts w:ascii="仿宋_GB2312" w:eastAsia="仿宋_GB2312"/>
                <w:sz w:val="28"/>
                <w:szCs w:val="28"/>
              </w:rPr>
            </w:pPr>
            <w:r>
              <w:rPr>
                <w:rFonts w:hint="eastAsia" w:ascii="仿宋_GB2312" w:eastAsia="仿宋_GB2312"/>
                <w:sz w:val="28"/>
                <w:szCs w:val="28"/>
              </w:rPr>
              <w:t>保留前5个</w:t>
            </w:r>
          </w:p>
        </w:tc>
      </w:tr>
    </w:tbl>
    <w:p>
      <w:pPr>
        <w:spacing w:line="580" w:lineRule="exact"/>
        <w:ind w:firstLine="688" w:firstLineChars="200"/>
        <w:rPr>
          <w:rFonts w:ascii="仿宋_GB2312" w:hAnsi="黑体" w:eastAsia="仿宋_GB2312"/>
          <w:bCs/>
          <w:spacing w:val="12"/>
          <w:sz w:val="32"/>
          <w:szCs w:val="32"/>
        </w:rPr>
      </w:pPr>
      <w:r>
        <w:rPr>
          <w:rFonts w:hint="eastAsia" w:ascii="仿宋_GB2312" w:hAnsi="黑体" w:eastAsia="仿宋_GB2312"/>
          <w:spacing w:val="12"/>
          <w:sz w:val="32"/>
          <w:szCs w:val="32"/>
        </w:rPr>
        <w:t>末位综合评分相同的供应商，均进入下一轮报价。</w:t>
      </w:r>
    </w:p>
    <w:p>
      <w:pPr>
        <w:spacing w:line="580" w:lineRule="exact"/>
        <w:ind w:firstLine="688" w:firstLineChars="200"/>
        <w:rPr>
          <w:rFonts w:ascii="仿宋_GB2312" w:hAnsi="黑体" w:eastAsia="仿宋_GB2312"/>
          <w:spacing w:val="12"/>
          <w:sz w:val="32"/>
          <w:szCs w:val="32"/>
        </w:rPr>
      </w:pPr>
      <w:r>
        <w:rPr>
          <w:rFonts w:hint="eastAsia" w:ascii="仿宋_GB2312" w:hAnsi="黑体" w:eastAsia="仿宋_GB2312"/>
          <w:bCs/>
          <w:spacing w:val="12"/>
          <w:sz w:val="32"/>
          <w:szCs w:val="32"/>
        </w:rPr>
        <w:t>3、</w:t>
      </w:r>
      <w:r>
        <w:rPr>
          <w:rFonts w:hint="eastAsia" w:ascii="仿宋_GB2312" w:hAnsi="黑体" w:eastAsia="仿宋_GB2312"/>
          <w:spacing w:val="12"/>
          <w:sz w:val="32"/>
          <w:szCs w:val="32"/>
        </w:rPr>
        <w:t>最终报价：由进入此轮的供应商现场直接进行最终报价（最终报价不得高于第一轮报价），在“佛山市中医院遴选产品汇总表（打印版）”中写上最终报价并签字确认。</w:t>
      </w:r>
    </w:p>
    <w:p>
      <w:pPr>
        <w:spacing w:line="580" w:lineRule="exact"/>
        <w:ind w:firstLine="688" w:firstLineChars="200"/>
        <w:rPr>
          <w:rFonts w:ascii="仿宋_GB2312" w:hAnsi="黑体" w:eastAsia="仿宋_GB2312"/>
          <w:spacing w:val="12"/>
          <w:sz w:val="32"/>
          <w:szCs w:val="32"/>
        </w:rPr>
      </w:pPr>
      <w:r>
        <w:rPr>
          <w:rFonts w:hint="eastAsia" w:ascii="仿宋_GB2312" w:hAnsi="黑体" w:eastAsia="仿宋_GB2312"/>
          <w:spacing w:val="12"/>
          <w:sz w:val="32"/>
          <w:szCs w:val="32"/>
        </w:rPr>
        <w:t>不允许弃选，否则取消该供应商所有产品的入围资格。无故弃选者，两年内不允许参加我院的所有耗材遴选；</w:t>
      </w:r>
      <w:r>
        <w:rPr>
          <w:rFonts w:hint="eastAsia" w:ascii="仿宋_GB2312" w:hAnsi="黑体" w:eastAsia="仿宋_GB2312"/>
          <w:bCs/>
          <w:spacing w:val="12"/>
          <w:sz w:val="32"/>
          <w:szCs w:val="32"/>
        </w:rPr>
        <w:t>另供应商所投产品如5年内在我院供应的，本次最终报价不得高于原供应价格，如有高于的须提供说明及佐证材料。</w:t>
      </w:r>
    </w:p>
    <w:p>
      <w:pPr>
        <w:spacing w:line="580" w:lineRule="exact"/>
        <w:ind w:firstLine="688" w:firstLineChars="200"/>
        <w:rPr>
          <w:rFonts w:ascii="仿宋_GB2312" w:hAnsi="黑体" w:eastAsia="仿宋_GB2312"/>
          <w:spacing w:val="12"/>
          <w:sz w:val="32"/>
          <w:szCs w:val="32"/>
        </w:rPr>
      </w:pPr>
      <w:r>
        <w:rPr>
          <w:rFonts w:hint="eastAsia" w:ascii="仿宋_GB2312" w:hAnsi="黑体" w:eastAsia="仿宋_GB2312"/>
          <w:spacing w:val="12"/>
          <w:sz w:val="32"/>
          <w:szCs w:val="32"/>
        </w:rPr>
        <w:t>4、报价使用货币及单位：人民币（元），报价保留到小数点后</w:t>
      </w:r>
      <w:r>
        <w:rPr>
          <w:rFonts w:ascii="仿宋_GB2312" w:hAnsi="黑体" w:eastAsia="仿宋_GB2312"/>
          <w:spacing w:val="12"/>
          <w:sz w:val="32"/>
          <w:szCs w:val="32"/>
        </w:rPr>
        <w:t>1</w:t>
      </w:r>
      <w:r>
        <w:rPr>
          <w:rFonts w:hint="eastAsia" w:ascii="仿宋_GB2312" w:hAnsi="黑体" w:eastAsia="仿宋_GB2312"/>
          <w:spacing w:val="12"/>
          <w:sz w:val="32"/>
          <w:szCs w:val="32"/>
        </w:rPr>
        <w:t>位（即0</w:t>
      </w:r>
      <w:r>
        <w:rPr>
          <w:rFonts w:ascii="仿宋_GB2312" w:hAnsi="黑体" w:eastAsia="仿宋_GB2312"/>
          <w:spacing w:val="12"/>
          <w:sz w:val="32"/>
          <w:szCs w:val="32"/>
        </w:rPr>
        <w:t>.1</w:t>
      </w:r>
      <w:r>
        <w:rPr>
          <w:rFonts w:hint="eastAsia" w:ascii="仿宋_GB2312" w:hAnsi="黑体" w:eastAsia="仿宋_GB2312"/>
          <w:spacing w:val="12"/>
          <w:sz w:val="32"/>
          <w:szCs w:val="32"/>
        </w:rPr>
        <w:t>），如超出小数点后</w:t>
      </w:r>
      <w:r>
        <w:rPr>
          <w:rFonts w:ascii="仿宋_GB2312" w:hAnsi="黑体" w:eastAsia="仿宋_GB2312"/>
          <w:spacing w:val="12"/>
          <w:sz w:val="32"/>
          <w:szCs w:val="32"/>
        </w:rPr>
        <w:t>1</w:t>
      </w:r>
      <w:r>
        <w:rPr>
          <w:rFonts w:hint="eastAsia" w:ascii="仿宋_GB2312" w:hAnsi="黑体" w:eastAsia="仿宋_GB2312"/>
          <w:spacing w:val="12"/>
          <w:sz w:val="32"/>
          <w:szCs w:val="32"/>
        </w:rPr>
        <w:t>位，则四舍五入。</w:t>
      </w:r>
    </w:p>
    <w:p>
      <w:pPr>
        <w:spacing w:line="580" w:lineRule="exact"/>
        <w:ind w:firstLine="688" w:firstLineChars="200"/>
        <w:rPr>
          <w:rFonts w:ascii="仿宋_GB2312" w:hAnsi="黑体" w:eastAsia="仿宋_GB2312"/>
          <w:spacing w:val="12"/>
          <w:sz w:val="32"/>
          <w:szCs w:val="32"/>
        </w:rPr>
      </w:pPr>
      <w:r>
        <w:rPr>
          <w:rFonts w:hint="eastAsia" w:ascii="仿宋_GB2312" w:hAnsi="黑体" w:eastAsia="仿宋_GB2312"/>
          <w:spacing w:val="12"/>
          <w:sz w:val="32"/>
          <w:szCs w:val="32"/>
        </w:rPr>
        <w:t>5、医用耗材报价为空白的，则该医用耗材视为无效报价。</w:t>
      </w:r>
    </w:p>
    <w:p>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6、报价为供应商的实际供应价（不含使用耗材和配套工具产生的消毒费），应包含税费、产品正常损耗、配送和伴随服务等所有费用。</w:t>
      </w:r>
    </w:p>
    <w:p>
      <w:pPr>
        <w:spacing w:line="580" w:lineRule="exact"/>
        <w:ind w:firstLine="688" w:firstLineChars="200"/>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7、使用耗材和配套工具产生的消毒费,由供应商承担。</w:t>
      </w:r>
    </w:p>
    <w:p>
      <w:pPr>
        <w:ind w:firstLine="643" w:firstLineChars="200"/>
        <w:rPr>
          <w:rFonts w:ascii="楷体_GB2312" w:hAnsi="黑体" w:eastAsia="楷体_GB2312"/>
          <w:b/>
          <w:sz w:val="32"/>
          <w:szCs w:val="32"/>
        </w:rPr>
      </w:pPr>
      <w:r>
        <w:rPr>
          <w:rFonts w:hint="eastAsia" w:ascii="楷体_GB2312" w:hAnsi="黑体" w:eastAsia="楷体_GB2312"/>
          <w:b/>
          <w:sz w:val="32"/>
          <w:szCs w:val="32"/>
        </w:rPr>
        <w:t>（</w:t>
      </w:r>
      <w:r>
        <w:rPr>
          <w:rFonts w:hint="eastAsia" w:ascii="楷体_GB2312" w:hAnsi="黑体" w:eastAsia="楷体_GB2312"/>
          <w:b/>
          <w:sz w:val="32"/>
          <w:szCs w:val="32"/>
          <w:lang w:val="en-US" w:eastAsia="zh-CN"/>
        </w:rPr>
        <w:t>五</w:t>
      </w:r>
      <w:r>
        <w:rPr>
          <w:rFonts w:hint="eastAsia" w:ascii="楷体_GB2312" w:hAnsi="黑体" w:eastAsia="楷体_GB2312"/>
          <w:b/>
          <w:sz w:val="32"/>
          <w:szCs w:val="32"/>
        </w:rPr>
        <w:t>）遴选结果公示</w:t>
      </w:r>
    </w:p>
    <w:p>
      <w:pPr>
        <w:ind w:firstLine="640" w:firstLineChars="200"/>
        <w:rPr>
          <w:rFonts w:hint="eastAsia" w:ascii="仿宋_GB2312" w:hAnsi="仿宋_GB2312" w:eastAsia="仿宋_GB2312" w:cs="仿宋_GB2312"/>
          <w:spacing w:val="12"/>
          <w:sz w:val="32"/>
          <w:szCs w:val="32"/>
        </w:rPr>
      </w:pPr>
      <w:r>
        <w:rPr>
          <w:rFonts w:hint="eastAsia" w:ascii="仿宋_GB2312" w:hAnsi="黑体" w:eastAsia="仿宋_GB2312"/>
          <w:sz w:val="32"/>
          <w:szCs w:val="32"/>
        </w:rPr>
        <w:t>医疗设备科</w:t>
      </w:r>
      <w:r>
        <w:rPr>
          <w:rFonts w:ascii="仿宋_GB2312" w:hAnsi="黑体" w:eastAsia="仿宋_GB2312"/>
          <w:sz w:val="32"/>
          <w:szCs w:val="32"/>
        </w:rPr>
        <w:t>根据医院</w:t>
      </w:r>
      <w:r>
        <w:rPr>
          <w:rFonts w:hint="eastAsia" w:ascii="仿宋_GB2312" w:hAnsi="黑体" w:eastAsia="仿宋_GB2312"/>
          <w:sz w:val="32"/>
          <w:szCs w:val="32"/>
        </w:rPr>
        <w:t>审批</w:t>
      </w:r>
      <w:r>
        <w:rPr>
          <w:rFonts w:ascii="仿宋_GB2312" w:hAnsi="黑体" w:eastAsia="仿宋_GB2312"/>
          <w:sz w:val="32"/>
          <w:szCs w:val="32"/>
        </w:rPr>
        <w:t>的结果在医院内外网公示遴选结果</w:t>
      </w:r>
      <w:r>
        <w:rPr>
          <w:rFonts w:hint="eastAsia" w:ascii="仿宋_GB2312" w:hAnsi="黑体" w:eastAsia="仿宋_GB2312"/>
          <w:sz w:val="32"/>
          <w:szCs w:val="32"/>
        </w:rPr>
        <w:t>，</w:t>
      </w:r>
      <w:r>
        <w:rPr>
          <w:rFonts w:ascii="仿宋_GB2312" w:hAnsi="黑体" w:eastAsia="仿宋_GB2312"/>
          <w:sz w:val="32"/>
          <w:szCs w:val="32"/>
        </w:rPr>
        <w:t>公示时间为</w:t>
      </w:r>
      <w:r>
        <w:rPr>
          <w:rFonts w:hint="eastAsia" w:ascii="仿宋_GB2312" w:hAnsi="黑体" w:eastAsia="仿宋_GB2312"/>
          <w:sz w:val="32"/>
          <w:szCs w:val="32"/>
        </w:rPr>
        <w:t>5个</w:t>
      </w:r>
      <w:r>
        <w:rPr>
          <w:rFonts w:ascii="仿宋_GB2312" w:hAnsi="黑体" w:eastAsia="仿宋_GB2312"/>
          <w:sz w:val="32"/>
          <w:szCs w:val="32"/>
        </w:rPr>
        <w:t>工作日。</w:t>
      </w:r>
    </w:p>
    <w:p>
      <w:pPr>
        <w:spacing w:line="560" w:lineRule="exact"/>
        <w:ind w:firstLine="640" w:firstLineChars="200"/>
        <w:rPr>
          <w:rFonts w:ascii="仿宋_GB2312" w:eastAsia="仿宋_GB2312"/>
          <w:bCs/>
          <w:sz w:val="32"/>
          <w:szCs w:val="32"/>
        </w:rPr>
      </w:pPr>
      <w:r>
        <w:rPr>
          <w:rFonts w:hint="eastAsia" w:ascii="黑体" w:hAnsi="黑体" w:eastAsia="黑体"/>
          <w:sz w:val="32"/>
          <w:szCs w:val="32"/>
          <w:lang w:val="en-US" w:eastAsia="zh-CN"/>
        </w:rPr>
        <w:t>二</w:t>
      </w:r>
      <w:r>
        <w:rPr>
          <w:rFonts w:hint="eastAsia" w:ascii="黑体" w:hAnsi="黑体" w:eastAsia="黑体"/>
          <w:sz w:val="32"/>
          <w:szCs w:val="32"/>
        </w:rPr>
        <w:t>、供应商管理及退出机制</w:t>
      </w:r>
    </w:p>
    <w:p>
      <w:pPr>
        <w:spacing w:line="580" w:lineRule="exact"/>
        <w:ind w:firstLine="640" w:firstLineChars="200"/>
        <w:rPr>
          <w:rFonts w:ascii="仿宋_GB2312" w:hAnsi="宋体" w:eastAsia="仿宋_GB2312"/>
          <w:sz w:val="32"/>
          <w:szCs w:val="30"/>
        </w:rPr>
      </w:pPr>
      <w:r>
        <w:rPr>
          <w:rFonts w:hint="eastAsia" w:ascii="仿宋_GB2312" w:hAnsi="宋体" w:eastAsia="仿宋_GB2312"/>
          <w:sz w:val="32"/>
          <w:szCs w:val="30"/>
        </w:rPr>
        <w:t>（一）</w:t>
      </w:r>
      <w:r>
        <w:rPr>
          <w:rFonts w:hint="eastAsia" w:ascii="仿宋_GB2312" w:hAnsi="仿宋_GB2312" w:eastAsia="仿宋_GB2312" w:cs="仿宋_GB2312"/>
          <w:spacing w:val="12"/>
          <w:sz w:val="32"/>
          <w:szCs w:val="32"/>
        </w:rPr>
        <w:t>中选供应商</w:t>
      </w:r>
      <w:r>
        <w:rPr>
          <w:rFonts w:hint="eastAsia" w:ascii="仿宋_GB2312" w:hAnsi="宋体" w:eastAsia="仿宋_GB2312"/>
          <w:sz w:val="32"/>
          <w:szCs w:val="30"/>
        </w:rPr>
        <w:t>或其指定（授权）的配送商</w:t>
      </w:r>
      <w:r>
        <w:rPr>
          <w:rFonts w:hint="eastAsia" w:ascii="仿宋_GB2312" w:hAnsi="仿宋_GB2312" w:eastAsia="仿宋_GB2312" w:cs="仿宋_GB2312"/>
          <w:spacing w:val="12"/>
          <w:sz w:val="32"/>
          <w:szCs w:val="32"/>
        </w:rPr>
        <w:t>须在30个自然日内提供样品及相关资料到医疗设备科进行物资编码和备案，以及与佛山市中医院在</w:t>
      </w:r>
      <w:r>
        <w:rPr>
          <w:rFonts w:hint="eastAsia" w:ascii="仿宋_GB2312" w:eastAsia="仿宋_GB2312"/>
          <w:spacing w:val="12"/>
          <w:sz w:val="32"/>
          <w:szCs w:val="32"/>
        </w:rPr>
        <w:t>广东省新招采子系统平台</w:t>
      </w:r>
      <w:r>
        <w:rPr>
          <w:rFonts w:hint="eastAsia" w:ascii="仿宋_GB2312" w:hAnsi="仿宋_GB2312" w:eastAsia="仿宋_GB2312" w:cs="仿宋_GB2312"/>
          <w:spacing w:val="12"/>
          <w:sz w:val="32"/>
          <w:szCs w:val="32"/>
        </w:rPr>
        <w:t>签订医用耗材购销合同或签订纸质合同。超过规定时间未提供样品及相关资料进行编码和备案以及签订合同的，视为放弃中选资格，</w:t>
      </w:r>
      <w:r>
        <w:rPr>
          <w:rFonts w:hint="eastAsia" w:ascii="仿宋_GB2312" w:hAnsi="宋体" w:eastAsia="仿宋_GB2312"/>
          <w:sz w:val="32"/>
          <w:szCs w:val="30"/>
        </w:rPr>
        <w:t>按排名先后依次补上，以此类推。</w:t>
      </w:r>
    </w:p>
    <w:p>
      <w:pPr>
        <w:spacing w:line="560" w:lineRule="atLeast"/>
        <w:ind w:firstLine="640" w:firstLineChars="200"/>
        <w:rPr>
          <w:rFonts w:ascii="仿宋_GB2312" w:hAnsi="宋体" w:eastAsia="仿宋_GB2312"/>
          <w:sz w:val="32"/>
          <w:szCs w:val="30"/>
        </w:rPr>
      </w:pPr>
      <w:r>
        <w:rPr>
          <w:rFonts w:hint="eastAsia" w:ascii="仿宋_GB2312" w:hAnsi="宋体" w:eastAsia="仿宋_GB2312"/>
          <w:sz w:val="32"/>
          <w:szCs w:val="30"/>
        </w:rPr>
        <w:t>（二）在执行合同价过程中，如省市平台中相关耗材价格低于合同价时，必须按照低价供货，否则视为放弃中选资格，按排名先后依次补上，以此类推。</w:t>
      </w:r>
    </w:p>
    <w:p>
      <w:pPr>
        <w:ind w:firstLine="640" w:firstLineChars="200"/>
        <w:rPr>
          <w:rFonts w:ascii="仿宋_GB2312" w:hAnsi="黑体" w:eastAsia="仿宋_GB2312"/>
          <w:sz w:val="32"/>
          <w:szCs w:val="32"/>
        </w:rPr>
      </w:pPr>
      <w:r>
        <w:rPr>
          <w:rFonts w:hint="eastAsia" w:ascii="仿宋_GB2312" w:hAnsi="黑体" w:eastAsia="仿宋_GB2312"/>
          <w:sz w:val="32"/>
          <w:szCs w:val="32"/>
        </w:rPr>
        <w:t>（三）原则上合同期限内不得变更配送商，如需变更</w:t>
      </w:r>
      <w:r>
        <w:rPr>
          <w:rFonts w:ascii="仿宋_GB2312" w:hAnsi="黑体" w:eastAsia="仿宋_GB2312"/>
          <w:sz w:val="32"/>
          <w:szCs w:val="32"/>
        </w:rPr>
        <w:t>的，</w:t>
      </w:r>
      <w:r>
        <w:rPr>
          <w:rFonts w:hint="eastAsia" w:ascii="仿宋_GB2312" w:hAnsi="黑体" w:eastAsia="仿宋_GB2312"/>
          <w:sz w:val="32"/>
          <w:szCs w:val="32"/>
        </w:rPr>
        <w:t>须由新配送商</w:t>
      </w:r>
      <w:r>
        <w:rPr>
          <w:rFonts w:ascii="仿宋_GB2312" w:hAnsi="黑体" w:eastAsia="仿宋_GB2312"/>
          <w:sz w:val="32"/>
          <w:szCs w:val="32"/>
        </w:rPr>
        <w:t>递交</w:t>
      </w:r>
      <w:r>
        <w:rPr>
          <w:rFonts w:hint="eastAsia" w:ascii="仿宋_GB2312" w:hAnsi="黑体" w:eastAsia="仿宋_GB2312"/>
          <w:sz w:val="32"/>
          <w:szCs w:val="32"/>
        </w:rPr>
        <w:t>变更</w:t>
      </w:r>
      <w:r>
        <w:rPr>
          <w:rFonts w:ascii="仿宋_GB2312" w:hAnsi="黑体" w:eastAsia="仿宋_GB2312"/>
          <w:sz w:val="32"/>
          <w:szCs w:val="32"/>
        </w:rPr>
        <w:t>申请函</w:t>
      </w:r>
      <w:r>
        <w:rPr>
          <w:rFonts w:hint="eastAsia" w:ascii="仿宋_GB2312" w:hAnsi="黑体" w:eastAsia="仿宋_GB2312"/>
          <w:sz w:val="32"/>
          <w:szCs w:val="32"/>
        </w:rPr>
        <w:t>及相关资料</w:t>
      </w:r>
      <w:r>
        <w:rPr>
          <w:rFonts w:ascii="仿宋_GB2312" w:hAnsi="黑体" w:eastAsia="仿宋_GB2312"/>
          <w:sz w:val="32"/>
          <w:szCs w:val="32"/>
        </w:rPr>
        <w:t>，</w:t>
      </w:r>
      <w:r>
        <w:rPr>
          <w:rFonts w:hint="eastAsia" w:ascii="仿宋_GB2312" w:hAnsi="黑体" w:eastAsia="仿宋_GB2312"/>
          <w:sz w:val="32"/>
          <w:szCs w:val="32"/>
        </w:rPr>
        <w:t>经医院审批同意后</w:t>
      </w:r>
      <w:r>
        <w:rPr>
          <w:rFonts w:ascii="仿宋_GB2312" w:hAnsi="黑体" w:eastAsia="仿宋_GB2312"/>
          <w:sz w:val="32"/>
          <w:szCs w:val="32"/>
        </w:rPr>
        <w:t>方可变更</w:t>
      </w:r>
      <w:r>
        <w:rPr>
          <w:rFonts w:hint="eastAsia" w:ascii="仿宋_GB2312" w:hAnsi="黑体" w:eastAsia="仿宋_GB2312"/>
          <w:sz w:val="32"/>
          <w:szCs w:val="32"/>
        </w:rPr>
        <w:t>。</w:t>
      </w:r>
    </w:p>
    <w:p>
      <w:pPr>
        <w:pStyle w:val="4"/>
        <w:ind w:firstLine="640" w:firstLineChars="200"/>
        <w:rPr>
          <w:rFonts w:ascii="仿宋_GB2312" w:eastAsia="仿宋_GB2312"/>
          <w:bCs/>
          <w:color w:val="auto"/>
          <w:sz w:val="32"/>
          <w:szCs w:val="32"/>
        </w:rPr>
      </w:pPr>
      <w:r>
        <w:rPr>
          <w:rFonts w:hint="eastAsia" w:ascii="仿宋_GB2312" w:eastAsia="仿宋_GB2312"/>
          <w:color w:val="auto"/>
          <w:sz w:val="32"/>
          <w:szCs w:val="32"/>
        </w:rPr>
        <w:t>（四）</w:t>
      </w:r>
      <w:r>
        <w:rPr>
          <w:rFonts w:hint="eastAsia" w:ascii="仿宋_GB2312" w:eastAsia="仿宋_GB2312"/>
          <w:bCs/>
          <w:color w:val="auto"/>
          <w:sz w:val="32"/>
          <w:szCs w:val="32"/>
        </w:rPr>
        <w:t>医院对中选产品及其配套工具质量、服务能力、合同履行能力、配合医院处理医疗纠纷能力等进行考核，并根据考核结果，作为</w:t>
      </w:r>
      <w:r>
        <w:rPr>
          <w:rFonts w:hint="eastAsia" w:ascii="仿宋_GB2312" w:hAnsi="仿宋_GB2312" w:eastAsia="仿宋_GB2312" w:cs="仿宋_GB2312"/>
          <w:sz w:val="32"/>
          <w:szCs w:val="32"/>
        </w:rPr>
        <w:t>动态调整供应目录的依据</w:t>
      </w:r>
      <w:r>
        <w:rPr>
          <w:rFonts w:hint="eastAsia" w:ascii="仿宋_GB2312" w:eastAsia="仿宋_GB2312"/>
          <w:bCs/>
          <w:color w:val="auto"/>
          <w:sz w:val="32"/>
          <w:szCs w:val="32"/>
        </w:rPr>
        <w:t>。</w:t>
      </w:r>
    </w:p>
    <w:p>
      <w:pPr>
        <w:pStyle w:val="2"/>
        <w:ind w:left="0" w:firstLine="640" w:firstLineChars="200"/>
        <w:jc w:val="left"/>
        <w:rPr>
          <w:rFonts w:ascii="仿宋_GB2312" w:hAnsi="Calibri" w:eastAsia="仿宋_GB2312"/>
          <w:bCs/>
          <w:sz w:val="32"/>
          <w:szCs w:val="32"/>
        </w:rPr>
      </w:pPr>
      <w:r>
        <w:rPr>
          <w:rFonts w:hint="eastAsia" w:ascii="仿宋_GB2312" w:hAnsi="Calibri" w:eastAsia="仿宋_GB2312"/>
          <w:bCs/>
          <w:sz w:val="32"/>
          <w:szCs w:val="32"/>
        </w:rPr>
        <w:t>（五）医疗器械生产许可证、医疗器械经营许可证、医疗器械注册证、消毒产品生产企业卫生许可证、消毒剂和消毒器械卫生许可批件、营业执照（正副本）、医用耗材检验报告书和授权书等到期前，应将变更后的最新有效证明文件提交到医疗设备科。超过有效期未提交的，停止中选产品的供货资格。</w:t>
      </w:r>
    </w:p>
    <w:p>
      <w:pPr>
        <w:spacing w:line="580" w:lineRule="exact"/>
        <w:ind w:firstLine="640" w:firstLineChars="200"/>
        <w:rPr>
          <w:rFonts w:ascii="仿宋_GB2312" w:hAnsi="仿宋_GB2312" w:eastAsia="仿宋_GB2312" w:cs="仿宋_GB2312"/>
          <w:spacing w:val="12"/>
          <w:sz w:val="32"/>
          <w:szCs w:val="32"/>
        </w:rPr>
      </w:pPr>
      <w:r>
        <w:rPr>
          <w:rFonts w:hint="eastAsia" w:ascii="仿宋_GB2312" w:hAnsi="Calibri" w:eastAsia="仿宋_GB2312"/>
          <w:bCs/>
          <w:sz w:val="32"/>
          <w:szCs w:val="32"/>
        </w:rPr>
        <w:t>（六）</w:t>
      </w:r>
      <w:r>
        <w:rPr>
          <w:rFonts w:hint="eastAsia" w:ascii="仿宋_GB2312" w:hAnsi="仿宋_GB2312" w:eastAsia="仿宋_GB2312" w:cs="仿宋_GB2312"/>
          <w:spacing w:val="12"/>
          <w:sz w:val="32"/>
          <w:szCs w:val="32"/>
        </w:rPr>
        <w:t>企业名称、医用耗材价格等信息不能改变。若企业名称、医用耗材价格等信息确需变更的，经我院审核通过后，需在10个工作日内到医疗设备科办理备案手续。逾期未办理备案的，停止中选产品的供货资格。</w:t>
      </w:r>
    </w:p>
    <w:p>
      <w:pPr>
        <w:spacing w:line="580" w:lineRule="exact"/>
        <w:ind w:firstLine="688" w:firstLineChars="200"/>
        <w:rPr>
          <w:rFonts w:ascii="仿宋_GB2312" w:hAnsi="仿宋_GB2312" w:eastAsia="仿宋_GB2312" w:cs="仿宋_GB2312"/>
          <w:bCs/>
          <w:spacing w:val="12"/>
          <w:sz w:val="32"/>
          <w:szCs w:val="32"/>
        </w:rPr>
      </w:pPr>
      <w:r>
        <w:rPr>
          <w:rFonts w:hint="eastAsia" w:ascii="仿宋_GB2312" w:hAnsi="仿宋_GB2312" w:eastAsia="仿宋_GB2312" w:cs="仿宋_GB2312"/>
          <w:spacing w:val="12"/>
          <w:sz w:val="32"/>
          <w:szCs w:val="32"/>
        </w:rPr>
        <w:t>（七）若中选产品有断货或停产等特殊情况时，需提前1个月告知医院，并出示加盖公章的断货或停产的书面说明。如出现五次以上供货不及时的情况，医院有权终止合同。</w:t>
      </w:r>
    </w:p>
    <w:p>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（八）供应商的</w:t>
      </w:r>
      <w:bookmarkStart w:id="1" w:name="OLE_LINK2"/>
      <w:r>
        <w:rPr>
          <w:rFonts w:hint="eastAsia" w:ascii="仿宋_GB2312" w:hAnsi="仿宋_GB2312" w:eastAsia="仿宋_GB2312" w:cs="仿宋_GB2312"/>
          <w:spacing w:val="12"/>
          <w:sz w:val="32"/>
          <w:szCs w:val="32"/>
        </w:rPr>
        <w:t>违约违规</w:t>
      </w:r>
      <w:bookmarkEnd w:id="1"/>
      <w:r>
        <w:rPr>
          <w:rFonts w:hint="eastAsia" w:ascii="仿宋_GB2312" w:hAnsi="仿宋_GB2312" w:eastAsia="仿宋_GB2312" w:cs="仿宋_GB2312"/>
          <w:spacing w:val="12"/>
          <w:sz w:val="32"/>
          <w:szCs w:val="32"/>
        </w:rPr>
        <w:t>行为及处理</w:t>
      </w:r>
    </w:p>
    <w:p>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供应商有下列行为之一的，由相关监督管理部门会同医疗设备科进行查处。视情节轻重给予挂网警告，列入“不良记录名单”、将违法违规供应商和法人名单及违法违规情况向社会公布、取消供应商该品规、直至所有品规本次中选资格，该供应商两年内不得参与佛山市中医院医用耗材采购，涉嫌行政违法的，提请行政主管部门予以查处。</w:t>
      </w:r>
    </w:p>
    <w:p>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（1）在采购活动中提供虚假证明文件的；</w:t>
      </w:r>
    </w:p>
    <w:p>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（2）中选后，拒不签订购销合同的；</w:t>
      </w:r>
    </w:p>
    <w:p>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（3）不供货、不足量供货、不及时供货的，经核实，确因供应商原因造成的；</w:t>
      </w:r>
    </w:p>
    <w:p>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（4）提供不合格或不符合有效期规定的医用耗材，经核实，确因供应商原因造成的；</w:t>
      </w:r>
    </w:p>
    <w:p>
      <w:pPr>
        <w:spacing w:line="580" w:lineRule="exact"/>
        <w:ind w:firstLine="688" w:firstLineChars="200"/>
      </w:pPr>
      <w:r>
        <w:rPr>
          <w:rFonts w:hint="eastAsia" w:ascii="仿宋_GB2312" w:hAnsi="仿宋_GB2312" w:eastAsia="仿宋_GB2312" w:cs="仿宋_GB2312"/>
          <w:spacing w:val="12"/>
          <w:sz w:val="32"/>
          <w:szCs w:val="32"/>
        </w:rPr>
        <w:t>（5）其他违约违规行为。</w:t>
      </w:r>
    </w:p>
    <w:p>
      <w:pPr>
        <w:spacing w:line="56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w:t>
      </w:r>
      <w:r>
        <w:rPr>
          <w:rFonts w:hint="eastAsia" w:ascii="仿宋_GB2312" w:hAnsi="黑体" w:eastAsia="仿宋_GB2312"/>
          <w:bCs/>
          <w:sz w:val="32"/>
          <w:szCs w:val="32"/>
          <w:lang w:val="en-US" w:eastAsia="zh-CN"/>
        </w:rPr>
        <w:t>九</w:t>
      </w:r>
      <w:r>
        <w:rPr>
          <w:rFonts w:hint="eastAsia" w:ascii="仿宋_GB2312" w:hAnsi="黑体" w:eastAsia="仿宋_GB2312"/>
          <w:bCs/>
          <w:sz w:val="32"/>
          <w:szCs w:val="32"/>
        </w:rPr>
        <w:t>）中选的供应商或其指定（授权）的配送商由于违反上述五、六、七条任何</w:t>
      </w:r>
      <w:r>
        <w:rPr>
          <w:rFonts w:ascii="仿宋_GB2312" w:hAnsi="黑体" w:eastAsia="仿宋_GB2312"/>
          <w:bCs/>
          <w:sz w:val="32"/>
          <w:szCs w:val="32"/>
        </w:rPr>
        <w:t>一条</w:t>
      </w:r>
      <w:r>
        <w:rPr>
          <w:rFonts w:hint="eastAsia" w:ascii="仿宋_GB2312" w:hAnsi="黑体" w:eastAsia="仿宋_GB2312"/>
          <w:bCs/>
          <w:sz w:val="32"/>
          <w:szCs w:val="32"/>
        </w:rPr>
        <w:t>原则退出后，</w:t>
      </w:r>
      <w:r>
        <w:rPr>
          <w:rFonts w:hint="eastAsia" w:ascii="仿宋_GB2312" w:hAnsi="宋体" w:eastAsia="仿宋_GB2312"/>
          <w:sz w:val="32"/>
          <w:szCs w:val="30"/>
        </w:rPr>
        <w:t>按排名先后依次补上，以此类推</w:t>
      </w:r>
      <w:r>
        <w:rPr>
          <w:rFonts w:hint="eastAsia" w:ascii="仿宋_GB2312" w:hAnsi="黑体" w:eastAsia="仿宋_GB2312"/>
          <w:bCs/>
          <w:sz w:val="32"/>
          <w:szCs w:val="32"/>
        </w:rPr>
        <w:t>。</w:t>
      </w:r>
    </w:p>
    <w:p>
      <w:pPr>
        <w:tabs>
          <w:tab w:val="left" w:pos="738"/>
        </w:tabs>
        <w:jc w:val="left"/>
        <w:rPr>
          <w:rFonts w:hint="eastAsia"/>
        </w:rPr>
      </w:pPr>
    </w:p>
    <w:p>
      <w:pPr>
        <w:tabs>
          <w:tab w:val="left" w:pos="738"/>
        </w:tabs>
        <w:jc w:val="left"/>
        <w:rPr>
          <w:rFonts w:hint="eastAsia"/>
        </w:rPr>
      </w:pPr>
    </w:p>
    <w:p>
      <w:pPr>
        <w:tabs>
          <w:tab w:val="left" w:pos="738"/>
        </w:tabs>
        <w:jc w:val="left"/>
        <w:rPr>
          <w:rFonts w:hint="eastAsia"/>
        </w:rPr>
      </w:pPr>
    </w:p>
    <w:p>
      <w:pPr>
        <w:tabs>
          <w:tab w:val="left" w:pos="738"/>
        </w:tabs>
        <w:jc w:val="left"/>
        <w:rPr>
          <w:rFonts w:hint="eastAsia"/>
        </w:rPr>
      </w:pPr>
    </w:p>
    <w:p>
      <w:pPr>
        <w:tabs>
          <w:tab w:val="left" w:pos="738"/>
        </w:tabs>
        <w:jc w:val="left"/>
        <w:rPr>
          <w:rFonts w:hint="eastAsia"/>
        </w:rPr>
      </w:pPr>
    </w:p>
    <w:p>
      <w:pPr>
        <w:tabs>
          <w:tab w:val="left" w:pos="738"/>
        </w:tabs>
        <w:jc w:val="left"/>
        <w:rPr>
          <w:rFonts w:hint="eastAsia"/>
        </w:rPr>
      </w:pPr>
    </w:p>
    <w:p>
      <w:pPr>
        <w:tabs>
          <w:tab w:val="left" w:pos="738"/>
        </w:tabs>
        <w:jc w:val="left"/>
        <w:rPr>
          <w:rFonts w:hint="eastAsia"/>
        </w:rPr>
      </w:pPr>
    </w:p>
    <w:p>
      <w:pPr>
        <w:tabs>
          <w:tab w:val="left" w:pos="738"/>
        </w:tabs>
        <w:jc w:val="left"/>
        <w:rPr>
          <w:rFonts w:hint="eastAsia"/>
        </w:rPr>
      </w:pPr>
    </w:p>
    <w:p>
      <w:pPr>
        <w:tabs>
          <w:tab w:val="left" w:pos="738"/>
        </w:tabs>
        <w:jc w:val="left"/>
        <w:rPr>
          <w:rFonts w:hint="eastAsia"/>
        </w:rPr>
      </w:pPr>
    </w:p>
    <w:p>
      <w:pPr>
        <w:tabs>
          <w:tab w:val="left" w:pos="738"/>
        </w:tabs>
        <w:jc w:val="left"/>
        <w:rPr>
          <w:rFonts w:hint="eastAsia"/>
        </w:rPr>
      </w:pPr>
    </w:p>
    <w:p>
      <w:pPr>
        <w:tabs>
          <w:tab w:val="left" w:pos="738"/>
        </w:tabs>
        <w:jc w:val="left"/>
        <w:rPr>
          <w:rFonts w:hint="eastAsia"/>
        </w:rPr>
      </w:pPr>
    </w:p>
    <w:p>
      <w:pPr>
        <w:tabs>
          <w:tab w:val="left" w:pos="738"/>
        </w:tabs>
        <w:jc w:val="left"/>
        <w:rPr>
          <w:rFonts w:hint="eastAsia"/>
        </w:rPr>
      </w:pPr>
    </w:p>
    <w:p>
      <w:pPr>
        <w:tabs>
          <w:tab w:val="left" w:pos="738"/>
        </w:tabs>
        <w:jc w:val="left"/>
      </w:pP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IzYzQ5N2M1YWNlZTEyMzAwNGIyMzc4M2U1NzljNmYifQ=="/>
  </w:docVars>
  <w:rsids>
    <w:rsidRoot w:val="003B6049"/>
    <w:rsid w:val="000737D3"/>
    <w:rsid w:val="000B2C34"/>
    <w:rsid w:val="000D4167"/>
    <w:rsid w:val="000E1738"/>
    <w:rsid w:val="00106621"/>
    <w:rsid w:val="00181DA3"/>
    <w:rsid w:val="001A1B57"/>
    <w:rsid w:val="001D6548"/>
    <w:rsid w:val="002A243D"/>
    <w:rsid w:val="002E43F1"/>
    <w:rsid w:val="002E708A"/>
    <w:rsid w:val="002F063B"/>
    <w:rsid w:val="003B6049"/>
    <w:rsid w:val="003C4B9A"/>
    <w:rsid w:val="005A263E"/>
    <w:rsid w:val="0063134F"/>
    <w:rsid w:val="00662BD9"/>
    <w:rsid w:val="006A5D33"/>
    <w:rsid w:val="007B638C"/>
    <w:rsid w:val="007D7E0C"/>
    <w:rsid w:val="008774CD"/>
    <w:rsid w:val="008B782D"/>
    <w:rsid w:val="008C4E79"/>
    <w:rsid w:val="008D26B8"/>
    <w:rsid w:val="008E53D7"/>
    <w:rsid w:val="00A64D5A"/>
    <w:rsid w:val="00AC2D5E"/>
    <w:rsid w:val="00B12629"/>
    <w:rsid w:val="00B454CB"/>
    <w:rsid w:val="00BD3E1A"/>
    <w:rsid w:val="00BD7905"/>
    <w:rsid w:val="00BF2850"/>
    <w:rsid w:val="00CD63C6"/>
    <w:rsid w:val="00CE66F6"/>
    <w:rsid w:val="00CF5E29"/>
    <w:rsid w:val="00D329A5"/>
    <w:rsid w:val="00DB21CB"/>
    <w:rsid w:val="00F162DA"/>
    <w:rsid w:val="00F633C7"/>
    <w:rsid w:val="00F84AC1"/>
    <w:rsid w:val="00F94F2C"/>
    <w:rsid w:val="00FE5248"/>
    <w:rsid w:val="01D9415D"/>
    <w:rsid w:val="054144F3"/>
    <w:rsid w:val="06FC0240"/>
    <w:rsid w:val="08333A3B"/>
    <w:rsid w:val="0C852322"/>
    <w:rsid w:val="0EA2475E"/>
    <w:rsid w:val="1416075E"/>
    <w:rsid w:val="1C3A425E"/>
    <w:rsid w:val="1FD862CB"/>
    <w:rsid w:val="20EE1AB1"/>
    <w:rsid w:val="26130B13"/>
    <w:rsid w:val="28FC2D0A"/>
    <w:rsid w:val="31BD2FCF"/>
    <w:rsid w:val="357E15C1"/>
    <w:rsid w:val="3A1B530E"/>
    <w:rsid w:val="3E5B0EA5"/>
    <w:rsid w:val="40C43357"/>
    <w:rsid w:val="42376B83"/>
    <w:rsid w:val="43C024AB"/>
    <w:rsid w:val="52A26F27"/>
    <w:rsid w:val="53744B3A"/>
    <w:rsid w:val="568C4E2C"/>
    <w:rsid w:val="57D945CD"/>
    <w:rsid w:val="598D29D8"/>
    <w:rsid w:val="5A6F1FAB"/>
    <w:rsid w:val="613366E5"/>
    <w:rsid w:val="61BA2572"/>
    <w:rsid w:val="724C07E1"/>
    <w:rsid w:val="745201E6"/>
    <w:rsid w:val="77D67AA8"/>
    <w:rsid w:val="7CC61B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0"/>
    <w:pPr>
      <w:tabs>
        <w:tab w:val="left" w:pos="426"/>
      </w:tabs>
      <w:ind w:left="2100"/>
    </w:pPr>
  </w:style>
  <w:style w:type="paragraph" w:styleId="3">
    <w:name w:val="Body Text"/>
    <w:basedOn w:val="1"/>
    <w:next w:val="4"/>
    <w:qFormat/>
    <w:uiPriority w:val="0"/>
    <w:pPr>
      <w:tabs>
        <w:tab w:val="left" w:pos="426"/>
      </w:tabs>
      <w:spacing w:line="360" w:lineRule="auto"/>
    </w:pPr>
    <w:rPr>
      <w:b/>
      <w:bCs/>
      <w:sz w:val="24"/>
    </w:rPr>
  </w:style>
  <w:style w:type="paragraph" w:customStyle="1" w:styleId="4">
    <w:name w:val="Default"/>
    <w:next w:val="2"/>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nhideWhenUsed/>
    <w:qFormat/>
    <w:uiPriority w:val="99"/>
    <w:pPr>
      <w:spacing w:after="120" w:line="480" w:lineRule="auto"/>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paragraph" w:styleId="14">
    <w:name w:val="List Paragraph"/>
    <w:basedOn w:val="1"/>
    <w:qFormat/>
    <w:uiPriority w:val="34"/>
    <w:pPr>
      <w:ind w:firstLine="420" w:firstLineChars="200"/>
    </w:pPr>
  </w:style>
  <w:style w:type="paragraph" w:customStyle="1" w:styleId="15">
    <w:name w:val="_Style 1"/>
    <w:basedOn w:val="1"/>
    <w:qFormat/>
    <w:uiPriority w:val="99"/>
    <w:pPr>
      <w:ind w:firstLine="420" w:firstLineChars="200"/>
    </w:pPr>
  </w:style>
  <w:style w:type="paragraph" w:customStyle="1" w:styleId="16">
    <w:name w:val="表格文字"/>
    <w:basedOn w:val="1"/>
    <w:qFormat/>
    <w:uiPriority w:val="0"/>
    <w:pPr>
      <w:spacing w:before="25" w:after="25"/>
      <w:jc w:val="left"/>
    </w:pPr>
    <w:rPr>
      <w:bCs/>
      <w:spacing w:val="10"/>
      <w:kern w:val="0"/>
      <w:sz w:val="24"/>
    </w:rPr>
  </w:style>
  <w:style w:type="paragraph" w:customStyle="1" w:styleId="17">
    <w:name w:val="tgt"/>
    <w:basedOn w:val="1"/>
    <w:qFormat/>
    <w:uiPriority w:val="0"/>
    <w:pPr>
      <w:widowControl/>
      <w:spacing w:before="100" w:beforeAutospacing="1" w:after="100" w:afterAutospacing="1"/>
    </w:pPr>
    <w:rPr>
      <w:rFonts w:cs="宋体"/>
    </w:rPr>
  </w:style>
  <w:style w:type="character" w:customStyle="1" w:styleId="18">
    <w:name w:val="页眉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4996</Words>
  <Characters>878</Characters>
  <Lines>7</Lines>
  <Paragraphs>11</Paragraphs>
  <TotalTime>1</TotalTime>
  <ScaleCrop>false</ScaleCrop>
  <LinksUpToDate>false</LinksUpToDate>
  <CharactersWithSpaces>5863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2024-09-22T11:10:00Z</dcterms:created>
  <dc:creator>DELL</dc:creator>
  <cp:lastModifiedBy>林锋</cp:lastModifiedBy>
  <dcterms:modified xsi:type="dcterms:W3CDTF">2025-01-13T05:23:35Z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3AE7864791D14643B5B483CED95F449A</vt:lpwstr>
  </property>
</Properties>
</file>